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9A6" w:rsidRDefault="001469A6">
      <w:pPr>
        <w:rPr>
          <w:rFonts w:ascii="Arial" w:eastAsia="Arial" w:hAnsi="Arial" w:cs="Arial"/>
          <w:b/>
          <w:sz w:val="36"/>
          <w:szCs w:val="36"/>
        </w:rPr>
      </w:pPr>
      <w:bookmarkStart w:id="0" w:name="_GoBack"/>
      <w:bookmarkEnd w:id="0"/>
    </w:p>
    <w:p w:rsidR="001469A6" w:rsidRDefault="0039042C">
      <w:pPr>
        <w:rPr>
          <w:rFonts w:ascii="Arial" w:eastAsia="Arial" w:hAnsi="Arial" w:cs="Arial"/>
          <w:b/>
          <w:sz w:val="36"/>
          <w:szCs w:val="36"/>
        </w:rPr>
      </w:pPr>
      <w:r>
        <w:rPr>
          <w:rFonts w:ascii="Arial" w:eastAsia="Arial" w:hAnsi="Arial" w:cs="Arial"/>
          <w:b/>
          <w:sz w:val="36"/>
          <w:szCs w:val="36"/>
        </w:rPr>
        <w:t>Joint Schedule 1 (Definitions)</w:t>
      </w:r>
    </w:p>
    <w:p w:rsidR="001469A6" w:rsidRDefault="0039042C">
      <w:pPr>
        <w:numPr>
          <w:ilvl w:val="1"/>
          <w:numId w:val="2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1469A6" w:rsidRDefault="0039042C">
      <w:pPr>
        <w:numPr>
          <w:ilvl w:val="1"/>
          <w:numId w:val="2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1469A6" w:rsidRDefault="0039042C">
      <w:pPr>
        <w:numPr>
          <w:ilvl w:val="1"/>
          <w:numId w:val="2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1469A6" w:rsidRDefault="0039042C">
      <w:pPr>
        <w:numPr>
          <w:ilvl w:val="3"/>
          <w:numId w:val="25"/>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1469A6" w:rsidRDefault="0039042C">
      <w:pPr>
        <w:numPr>
          <w:ilvl w:val="3"/>
          <w:numId w:val="25"/>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1469A6" w:rsidRDefault="0039042C">
      <w:pPr>
        <w:numPr>
          <w:ilvl w:val="2"/>
          <w:numId w:val="25"/>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1469A6" w:rsidRDefault="0039042C">
      <w:pPr>
        <w:numPr>
          <w:ilvl w:val="1"/>
          <w:numId w:val="2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1469A6" w:rsidRDefault="001469A6">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5"/>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sz w:val="24"/>
                <w:szCs w:val="24"/>
              </w:rPr>
              <w:t xml:space="preserve">  Accounting Reference Date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in each year the date to which the Supplier prepares its annual audited financial statements;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bookmarkStart w:id="5" w:name="_heading=h.oq14vfpkmahx" w:colFirst="0" w:colLast="0"/>
            <w:bookmarkEnd w:id="5"/>
            <w:r>
              <w:rPr>
                <w:rFonts w:ascii="Arial" w:eastAsia="Arial" w:hAnsi="Arial" w:cs="Arial"/>
                <w:b/>
                <w:color w:val="000000"/>
                <w:sz w:val="24"/>
                <w:szCs w:val="24"/>
              </w:rPr>
              <w:t>"Achieve"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w:t>
            </w:r>
            <w:r>
              <w:rPr>
                <w:rFonts w:ascii="Arial" w:eastAsia="Arial" w:hAnsi="Arial" w:cs="Arial"/>
                <w:color w:val="000000"/>
                <w:sz w:val="24"/>
                <w:szCs w:val="24"/>
              </w:rPr>
              <w:t>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w:t>
            </w:r>
            <w:r>
              <w:rPr>
                <w:rFonts w:ascii="Arial" w:eastAsia="Arial" w:hAnsi="Arial" w:cs="Arial"/>
                <w:color w:val="000000"/>
                <w:sz w:val="24"/>
                <w:szCs w:val="24"/>
              </w:rPr>
              <w:t xml:space="preserve">Schedule 3 (Insurance Requirements);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w:t>
            </w:r>
            <w:r>
              <w:rPr>
                <w:rFonts w:ascii="Arial" w:eastAsia="Arial" w:hAnsi="Arial" w:cs="Arial"/>
                <w:b/>
                <w:color w:val="000000"/>
                <w:sz w:val="24"/>
                <w:szCs w:val="24"/>
              </w:rPr>
              <w:t>val"</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1469A6" w:rsidRDefault="0039042C">
            <w:pPr>
              <w:numPr>
                <w:ilvl w:val="0"/>
                <w:numId w:val="24"/>
              </w:numPr>
              <w:tabs>
                <w:tab w:val="left" w:pos="-179"/>
                <w:tab w:val="left" w:pos="-9"/>
              </w:tabs>
              <w:spacing w:after="120"/>
              <w:jc w:val="both"/>
              <w:rPr>
                <w:rFonts w:ascii="Arial" w:eastAsia="Arial" w:hAnsi="Arial" w:cs="Arial"/>
                <w:sz w:val="24"/>
                <w:szCs w:val="24"/>
              </w:rPr>
            </w:pPr>
            <w:r>
              <w:rPr>
                <w:rFonts w:ascii="Arial" w:eastAsia="Arial" w:hAnsi="Arial" w:cs="Arial"/>
                <w:sz w:val="24"/>
                <w:szCs w:val="24"/>
              </w:rPr>
              <w:t>where the Relevant Authority is a Buyer, and the value of the relevant Call-Off Contract is greater than £3million, verify the Open Book Data;</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w:t>
            </w:r>
            <w:r>
              <w:rPr>
                <w:rFonts w:ascii="Arial" w:eastAsia="Arial" w:hAnsi="Arial" w:cs="Arial"/>
                <w:color w:val="000000"/>
                <w:sz w:val="24"/>
                <w:szCs w:val="24"/>
              </w:rPr>
              <w:t>akes or any breach or threatened breach of security and in these circumstances the Relevant Authority shall have no obligation to inform the Supplier of the purpose or objective of its investigations;</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w:t>
            </w:r>
            <w:r>
              <w:rPr>
                <w:rFonts w:ascii="Arial" w:eastAsia="Arial" w:hAnsi="Arial" w:cs="Arial"/>
                <w:color w:val="000000"/>
                <w:sz w:val="24"/>
                <w:szCs w:val="24"/>
              </w:rPr>
              <w:t>act upon the financial stability of the Supplier, any Guarantor, and/or any Subcontractors or their ability to provide the Deliverables;</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w:t>
            </w:r>
            <w:r>
              <w:rPr>
                <w:rFonts w:ascii="Arial" w:eastAsia="Arial" w:hAnsi="Arial" w:cs="Arial"/>
                <w:color w:val="000000"/>
                <w:sz w:val="24"/>
                <w:szCs w:val="24"/>
              </w:rPr>
              <w:t>mentary, ministerial, judicial or administrative purposes including the supply of information to the Co</w:t>
            </w:r>
            <w:r>
              <w:rPr>
                <w:rFonts w:ascii="Arial" w:eastAsia="Arial" w:hAnsi="Arial" w:cs="Arial"/>
                <w:sz w:val="24"/>
                <w:szCs w:val="24"/>
              </w:rPr>
              <w:t>mp</w:t>
            </w:r>
            <w:r>
              <w:rPr>
                <w:rFonts w:ascii="Arial" w:eastAsia="Arial" w:hAnsi="Arial" w:cs="Arial"/>
                <w:color w:val="000000"/>
                <w:sz w:val="24"/>
                <w:szCs w:val="24"/>
              </w:rPr>
              <w:t>troller and Auditor General;</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w:t>
            </w:r>
            <w:r>
              <w:rPr>
                <w:rFonts w:ascii="Arial" w:eastAsia="Arial" w:hAnsi="Arial" w:cs="Arial"/>
                <w:color w:val="000000"/>
                <w:sz w:val="24"/>
                <w:szCs w:val="24"/>
              </w:rPr>
              <w:t>tract;</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w:t>
            </w:r>
            <w:r>
              <w:rPr>
                <w:rFonts w:ascii="Arial" w:eastAsia="Arial" w:hAnsi="Arial" w:cs="Arial"/>
                <w:color w:val="000000"/>
                <w:sz w:val="24"/>
                <w:szCs w:val="24"/>
              </w:rPr>
              <w:t>n 6(1) of the National Audit Act 1983 of the economy, efficiency and effectiveness with which the Relevant Authority has used its resources; or</w:t>
            </w:r>
          </w:p>
          <w:p w:rsidR="001469A6" w:rsidRDefault="0039042C">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w:t>
            </w:r>
            <w:r>
              <w:rPr>
                <w:rFonts w:ascii="Arial" w:eastAsia="Arial" w:hAnsi="Arial" w:cs="Arial"/>
                <w:color w:val="000000"/>
                <w:sz w:val="24"/>
                <w:szCs w:val="24"/>
              </w:rPr>
              <w:t>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rsidR="001469A6" w:rsidRDefault="0039042C">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 xml:space="preserve"> means:</w:t>
            </w:r>
          </w:p>
          <w:p w:rsidR="001469A6" w:rsidRDefault="0039042C">
            <w:pPr>
              <w:numPr>
                <w:ilvl w:val="0"/>
                <w:numId w:val="27"/>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w:t>
            </w:r>
            <w:r>
              <w:rPr>
                <w:rFonts w:ascii="Arial" w:eastAsia="Arial" w:hAnsi="Arial" w:cs="Arial"/>
                <w:sz w:val="24"/>
                <w:szCs w:val="24"/>
              </w:rPr>
              <w:t>omp</w:t>
            </w:r>
            <w:r>
              <w:rPr>
                <w:rFonts w:ascii="Arial" w:eastAsia="Arial" w:hAnsi="Arial" w:cs="Arial"/>
                <w:color w:val="000000"/>
                <w:sz w:val="24"/>
                <w:szCs w:val="24"/>
              </w:rPr>
              <w:t>troller and Auditor General, their staff and/or any appointed representatives of the National Audit Office;</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rsidR="001469A6" w:rsidRDefault="0039042C">
            <w:pPr>
              <w:numPr>
                <w:ilvl w:val="0"/>
                <w:numId w:val="2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1469A6">
        <w:trPr>
          <w:trHeight w:val="601"/>
        </w:trPr>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1469A6" w:rsidRDefault="0039042C">
            <w:pPr>
              <w:rPr>
                <w:rFonts w:ascii="Arial" w:eastAsia="Arial" w:hAnsi="Arial" w:cs="Arial"/>
                <w:sz w:val="24"/>
                <w:szCs w:val="24"/>
              </w:rPr>
            </w:pPr>
            <w:r>
              <w:rPr>
                <w:rFonts w:ascii="Arial" w:eastAsia="Arial" w:hAnsi="Arial" w:cs="Arial"/>
                <w:sz w:val="24"/>
                <w:szCs w:val="24"/>
              </w:rPr>
              <w:t xml:space="preserve">   CCS and each Buyer;</w:t>
            </w:r>
          </w:p>
        </w:tc>
      </w:tr>
      <w:tr w:rsidR="001469A6">
        <w:tc>
          <w:tcPr>
            <w:tcW w:w="2070" w:type="dxa"/>
          </w:tcPr>
          <w:p w:rsidR="001469A6" w:rsidRDefault="0039042C">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1469A6">
        <w:tc>
          <w:tcPr>
            <w:tcW w:w="2070" w:type="dxa"/>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1469A6">
        <w:tc>
          <w:tcPr>
            <w:tcW w:w="2070" w:type="dxa"/>
          </w:tcPr>
          <w:p w:rsidR="001469A6" w:rsidRDefault="0039042C">
            <w:pPr>
              <w:spacing w:after="120"/>
              <w:ind w:left="-108"/>
              <w:rPr>
                <w:rFonts w:ascii="Arial" w:eastAsia="Arial" w:hAnsi="Arial" w:cs="Arial"/>
                <w:b/>
                <w:sz w:val="24"/>
                <w:szCs w:val="24"/>
              </w:rPr>
            </w:pPr>
            <w:r>
              <w:rPr>
                <w:rFonts w:ascii="Arial" w:eastAsia="Arial" w:hAnsi="Arial" w:cs="Arial"/>
                <w:b/>
                <w:sz w:val="24"/>
                <w:szCs w:val="24"/>
              </w:rPr>
              <w:t xml:space="preserve">  Buyer System</w:t>
            </w:r>
          </w:p>
        </w:tc>
        <w:tc>
          <w:tcPr>
            <w:tcW w:w="8010" w:type="dxa"/>
          </w:tcPr>
          <w:p w:rsidR="001469A6" w:rsidRDefault="0039042C">
            <w:pP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highlight w:val="white"/>
              </w:rPr>
              <w:t>has the meaning given to it in Schedule 6 (ICT Services);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Call Off Optional Extension Period</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 xml:space="preserve">such </w:t>
            </w:r>
            <w:r>
              <w:rPr>
                <w:rFonts w:ascii="Arial" w:eastAsia="Arial" w:hAnsi="Arial" w:cs="Arial"/>
                <w:sz w:val="24"/>
                <w:szCs w:val="24"/>
                <w:highlight w:val="white"/>
              </w:rPr>
              <w:t>period or periods beyond which the Call-Off Initial Period may be extended up to a maximum of the number of years in total specified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w:t>
            </w:r>
            <w:r>
              <w:rPr>
                <w:rFonts w:ascii="Arial" w:eastAsia="Arial" w:hAnsi="Arial" w:cs="Arial"/>
                <w:color w:val="000000"/>
                <w:sz w:val="24"/>
                <w:szCs w:val="24"/>
              </w:rPr>
              <w:t xml:space="preserve">applicable Call-Off Contract;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Catalogue</w:t>
            </w:r>
          </w:p>
        </w:tc>
        <w:tc>
          <w:tcPr>
            <w:tcW w:w="8010" w:type="dxa"/>
          </w:tcPr>
          <w:p w:rsidR="001469A6" w:rsidRDefault="0039042C">
            <w:pPr>
              <w:tabs>
                <w:tab w:val="left" w:pos="-179"/>
                <w:tab w:val="left" w:pos="-9"/>
              </w:tabs>
              <w:spacing w:after="120" w:line="276" w:lineRule="auto"/>
              <w:ind w:left="142"/>
              <w:jc w:val="both"/>
              <w:rPr>
                <w:rFonts w:ascii="Arial" w:eastAsia="Arial" w:hAnsi="Arial" w:cs="Arial"/>
                <w:color w:val="000000"/>
                <w:sz w:val="24"/>
                <w:szCs w:val="24"/>
              </w:rPr>
            </w:pPr>
            <w:r>
              <w:rPr>
                <w:rFonts w:ascii="Arial" w:eastAsia="Arial" w:hAnsi="Arial" w:cs="Arial"/>
                <w:sz w:val="24"/>
                <w:szCs w:val="24"/>
                <w:highlight w:val="white"/>
              </w:rPr>
              <w:t>the Supplier’s catalogue of Deliverables available to Buyers to order without Further Competition;</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 xml:space="preserve">  Catalogue Publication Portal</w:t>
            </w:r>
          </w:p>
        </w:tc>
        <w:tc>
          <w:tcPr>
            <w:tcW w:w="8010" w:type="dxa"/>
          </w:tcPr>
          <w:p w:rsidR="001469A6" w:rsidRDefault="0039042C">
            <w:pPr>
              <w:tabs>
                <w:tab w:val="left" w:pos="-179"/>
                <w:tab w:val="left" w:pos="-9"/>
              </w:tabs>
              <w:spacing w:after="120" w:line="276" w:lineRule="auto"/>
              <w:ind w:left="142"/>
              <w:jc w:val="both"/>
              <w:rPr>
                <w:rFonts w:ascii="Arial" w:eastAsia="Arial" w:hAnsi="Arial" w:cs="Arial"/>
                <w:sz w:val="24"/>
                <w:szCs w:val="24"/>
              </w:rPr>
            </w:pPr>
            <w:r>
              <w:rPr>
                <w:rFonts w:ascii="Arial" w:eastAsia="Arial" w:hAnsi="Arial" w:cs="Arial"/>
                <w:sz w:val="24"/>
                <w:szCs w:val="24"/>
                <w:highlight w:val="white"/>
              </w:rPr>
              <w:t>the CCS online publication channel via which Buyers can view the Catalogue;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1469A6">
        <w:tc>
          <w:tcPr>
            <w:tcW w:w="2070" w:type="dxa"/>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1469A6" w:rsidRDefault="0039042C">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1469A6" w:rsidRDefault="0039042C">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Non-Department</w:t>
            </w:r>
            <w:r>
              <w:rPr>
                <w:rFonts w:ascii="Arial" w:eastAsia="Arial" w:hAnsi="Arial" w:cs="Arial"/>
                <w:color w:val="000000"/>
                <w:sz w:val="24"/>
                <w:szCs w:val="24"/>
              </w:rPr>
              <w:t>al Public Body or Assembly Sponsored Public Body (advisory, executive, or tribunal);</w:t>
            </w:r>
          </w:p>
          <w:p w:rsidR="001469A6" w:rsidRDefault="0039042C">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1469A6" w:rsidRDefault="0039042C">
            <w:pPr>
              <w:numPr>
                <w:ilvl w:val="0"/>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8010" w:type="dxa"/>
          </w:tcPr>
          <w:p w:rsidR="001469A6" w:rsidRDefault="0039042C">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1469A6">
        <w:tc>
          <w:tcPr>
            <w:tcW w:w="2070" w:type="dxa"/>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up to and in</w:t>
            </w:r>
            <w:r>
              <w:rPr>
                <w:rFonts w:ascii="Arial" w:eastAsia="Arial" w:hAnsi="Arial" w:cs="Arial"/>
                <w:color w:val="000000"/>
                <w:sz w:val="24"/>
                <w:szCs w:val="24"/>
              </w:rPr>
              <w:t xml:space="preserve">cluding the applicable End Date;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Core Network</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provision of any shared central core network capability forming part of the overall Services delivered to the Buyer, which is not specific or ex</w:t>
            </w:r>
            <w:r>
              <w:rPr>
                <w:rFonts w:ascii="Arial" w:eastAsia="Arial" w:hAnsi="Arial" w:cs="Arial"/>
                <w:sz w:val="24"/>
                <w:szCs w:val="24"/>
                <w:highlight w:val="white"/>
              </w:rPr>
              <w:t>clusive to a specific Call-Off Contract, and excludes any configuration information specifically associated with a specific CallOff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w:t>
            </w:r>
            <w:r>
              <w:rPr>
                <w:rFonts w:ascii="Arial" w:eastAsia="Arial" w:hAnsi="Arial" w:cs="Arial"/>
                <w:color w:val="000000"/>
                <w:sz w:val="24"/>
                <w:szCs w:val="24"/>
              </w:rPr>
              <w:t>ably and properly incurred by the Supplier in providing the Deliverables:</w:t>
            </w:r>
          </w:p>
          <w:p w:rsidR="001469A6" w:rsidRDefault="0039042C">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w:t>
            </w:r>
            <w:r>
              <w:rPr>
                <w:rFonts w:ascii="Arial" w:eastAsia="Arial" w:hAnsi="Arial" w:cs="Arial"/>
                <w:color w:val="000000"/>
                <w:sz w:val="24"/>
                <w:szCs w:val="24"/>
              </w:rPr>
              <w:t>ecessary to provide the Deliverables (but not including items included within limb (b) below); and</w:t>
            </w:r>
          </w:p>
          <w:p w:rsidR="001469A6" w:rsidRDefault="0039042C">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sz w:val="24"/>
                <w:szCs w:val="24"/>
              </w:rPr>
              <w:t xml:space="preserve">b) </w:t>
            </w:r>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w:t>
            </w:r>
            <w:r>
              <w:rPr>
                <w:rFonts w:ascii="Arial" w:eastAsia="Arial" w:hAnsi="Arial" w:cs="Arial"/>
                <w:color w:val="000000"/>
                <w:sz w:val="24"/>
                <w:szCs w:val="24"/>
              </w:rPr>
              <w:t>or (to the extent that risk and title in any Supplier Asset is not held by the Supplier) any cost actually incurred by the Supplier in respect of those Supplier Assets;</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sz w:val="24"/>
                <w:szCs w:val="24"/>
              </w:rPr>
              <w:t xml:space="preserve">c) </w:t>
            </w:r>
            <w:r>
              <w:rPr>
                <w:rFonts w:ascii="Arial" w:eastAsia="Arial" w:hAnsi="Arial" w:cs="Arial"/>
                <w:color w:val="000000"/>
                <w:sz w:val="24"/>
                <w:szCs w:val="24"/>
              </w:rPr>
              <w:t>operational costs which are not included within (a) or (b) above, to the extent that</w:t>
            </w:r>
            <w:r>
              <w:rPr>
                <w:rFonts w:ascii="Arial" w:eastAsia="Arial" w:hAnsi="Arial" w:cs="Arial"/>
                <w:color w:val="000000"/>
                <w:sz w:val="24"/>
                <w:szCs w:val="24"/>
              </w:rPr>
              <w:t xml:space="preserve"> such costs are necessary and properly incurred by the Supplier in the provision of the Deliverables; and</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Reimbursable Expenses to the extent these have been specified as allowable in the Order Form and are incurred in delivering any Deliverables;</w:t>
            </w:r>
          </w:p>
          <w:p w:rsidR="001469A6" w:rsidRDefault="0039042C">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 xml:space="preserve">but </w:t>
            </w:r>
            <w:r>
              <w:rPr>
                <w:rFonts w:ascii="Arial" w:eastAsia="Arial" w:hAnsi="Arial" w:cs="Arial"/>
                <w:color w:val="000000"/>
                <w:sz w:val="24"/>
                <w:szCs w:val="24"/>
              </w:rPr>
              <w:t>excluding:</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color w:val="000000"/>
                <w:sz w:val="24"/>
                <w:szCs w:val="24"/>
              </w:rPr>
              <w:t>Overhead;</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ii) </w:t>
            </w:r>
            <w:r>
              <w:rPr>
                <w:rFonts w:ascii="Arial" w:eastAsia="Arial" w:hAnsi="Arial" w:cs="Arial"/>
                <w:color w:val="000000"/>
                <w:sz w:val="24"/>
                <w:szCs w:val="24"/>
              </w:rPr>
              <w:t>financing or similar costs;</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iii) </w:t>
            </w: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iv) </w:t>
            </w:r>
            <w:r>
              <w:rPr>
                <w:rFonts w:ascii="Arial" w:eastAsia="Arial" w:hAnsi="Arial" w:cs="Arial"/>
                <w:color w:val="000000"/>
                <w:sz w:val="24"/>
                <w:szCs w:val="24"/>
              </w:rPr>
              <w:t>taxation;</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v) </w:t>
            </w:r>
            <w:r>
              <w:rPr>
                <w:rFonts w:ascii="Arial" w:eastAsia="Arial" w:hAnsi="Arial" w:cs="Arial"/>
                <w:color w:val="000000"/>
                <w:sz w:val="24"/>
                <w:szCs w:val="24"/>
              </w:rPr>
              <w:t>fines and penalties;</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sz w:val="24"/>
                <w:szCs w:val="24"/>
              </w:rPr>
            </w:pPr>
            <w:r>
              <w:rPr>
                <w:rFonts w:ascii="Arial" w:eastAsia="Arial" w:hAnsi="Arial" w:cs="Arial"/>
                <w:sz w:val="24"/>
                <w:szCs w:val="24"/>
              </w:rPr>
              <w:t xml:space="preserve">vi) </w:t>
            </w:r>
            <w:r>
              <w:rPr>
                <w:rFonts w:ascii="Arial" w:eastAsia="Arial" w:hAnsi="Arial" w:cs="Arial"/>
                <w:color w:val="000000"/>
                <w:sz w:val="24"/>
                <w:szCs w:val="24"/>
              </w:rPr>
              <w:t>amounts pay</w:t>
            </w:r>
            <w:r>
              <w:rPr>
                <w:rFonts w:ascii="Arial" w:eastAsia="Arial" w:hAnsi="Arial" w:cs="Arial"/>
                <w:color w:val="000000"/>
                <w:sz w:val="24"/>
                <w:szCs w:val="24"/>
              </w:rPr>
              <w:t>able under Call-Off Schedule 16 (Benchmarking) where such Schedule is used; and</w:t>
            </w:r>
          </w:p>
          <w:p w:rsidR="001469A6" w:rsidRDefault="0039042C">
            <w:pPr>
              <w:pBdr>
                <w:top w:val="nil"/>
                <w:left w:val="nil"/>
                <w:bottom w:val="nil"/>
                <w:right w:val="nil"/>
                <w:between w:val="nil"/>
              </w:pBdr>
              <w:tabs>
                <w:tab w:val="left" w:pos="-576"/>
                <w:tab w:val="left" w:pos="144"/>
              </w:tabs>
              <w:spacing w:after="120"/>
              <w:ind w:left="1152"/>
              <w:jc w:val="both"/>
              <w:rPr>
                <w:rFonts w:ascii="Arial" w:eastAsia="Arial" w:hAnsi="Arial" w:cs="Arial"/>
                <w:color w:val="000000"/>
                <w:sz w:val="24"/>
                <w:szCs w:val="24"/>
              </w:rPr>
            </w:pPr>
            <w:r>
              <w:rPr>
                <w:rFonts w:ascii="Arial" w:eastAsia="Arial" w:hAnsi="Arial" w:cs="Arial"/>
                <w:sz w:val="24"/>
                <w:szCs w:val="24"/>
              </w:rPr>
              <w:t xml:space="preserve">vii) </w:t>
            </w:r>
            <w:r>
              <w:rPr>
                <w:rFonts w:ascii="Arial" w:eastAsia="Arial" w:hAnsi="Arial" w:cs="Arial"/>
                <w:color w:val="000000"/>
                <w:sz w:val="24"/>
                <w:szCs w:val="24"/>
              </w:rPr>
              <w:t>non-cash items (including depreciation, amortisation, impairments and movements in provisions);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the DPA 2018 to the extent t</w:t>
            </w:r>
            <w:r>
              <w:rPr>
                <w:rFonts w:ascii="Arial" w:eastAsia="Arial" w:hAnsi="Arial" w:cs="Arial"/>
                <w:color w:val="000000"/>
                <w:sz w:val="24"/>
                <w:szCs w:val="24"/>
              </w:rPr>
              <w:t xml:space="preserve">hat it relates to Processing of Personal Data and privacy; </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all applicable Law about the Processing of Personal Data and privacy;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 Call-Off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w:t>
            </w:r>
            <w:r>
              <w:rPr>
                <w:rFonts w:ascii="Arial" w:eastAsia="Arial" w:hAnsi="Arial" w:cs="Arial"/>
                <w:color w:val="000000"/>
                <w:sz w:val="24"/>
                <w:szCs w:val="24"/>
              </w:rPr>
              <w:t>edule 5 (Management Charges and Information);</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w:t>
            </w:r>
            <w:r>
              <w:rPr>
                <w:rFonts w:ascii="Arial" w:eastAsia="Arial" w:hAnsi="Arial" w:cs="Arial"/>
                <w:color w:val="000000"/>
                <w:sz w:val="24"/>
                <w:szCs w:val="24"/>
              </w:rPr>
              <w:t>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Direct Award Criteria</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award criteria to be applied for the direct award of CallOff Contracts for Services set out in Framework Schedule 7 (Call-Off Award Procedure);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1469A6">
        <w:tc>
          <w:tcPr>
            <w:tcW w:w="2070" w:type="dxa"/>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w:t>
            </w:r>
            <w:r>
              <w:rPr>
                <w:rFonts w:ascii="Arial" w:eastAsia="Arial" w:hAnsi="Arial" w:cs="Arial"/>
                <w:color w:val="000000"/>
                <w:sz w:val="24"/>
                <w:szCs w:val="24"/>
              </w:rPr>
              <w:t>y information supplied to the Supplier by or on behalf of the Authority prior to the Start Date;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1469A6" w:rsidRDefault="0039042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1469A6" w:rsidRDefault="0039042C">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1469A6" w:rsidRDefault="0039042C">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469A6">
        <w:tc>
          <w:tcPr>
            <w:tcW w:w="2070" w:type="dxa"/>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w:t>
            </w:r>
            <w:r>
              <w:rPr>
                <w:rFonts w:ascii="Arial" w:eastAsia="Arial" w:hAnsi="Arial" w:cs="Arial"/>
                <w:b/>
                <w:color w:val="000000"/>
                <w:sz w:val="24"/>
                <w:szCs w:val="24"/>
              </w:rPr>
              <w:t>s”</w:t>
            </w:r>
          </w:p>
        </w:tc>
        <w:tc>
          <w:tcPr>
            <w:tcW w:w="8010" w:type="dxa"/>
          </w:tcPr>
          <w:p w:rsidR="001469A6" w:rsidRDefault="0039042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1469A6" w:rsidRDefault="001469A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1469A6" w:rsidRDefault="001469A6">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410"/>
      </w:tblGrid>
      <w:tr w:rsidR="001469A6">
        <w:tc>
          <w:tcPr>
            <w:tcW w:w="0" w:type="auto"/>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0" w:type="auto"/>
            <w:tcBorders>
              <w:top w:val="nil"/>
              <w:left w:val="nil"/>
              <w:bottom w:val="single" w:sz="4" w:space="0" w:color="000000"/>
              <w:right w:val="single" w:sz="8" w:space="0" w:color="000000"/>
            </w:tcBorders>
            <w:tcMar>
              <w:top w:w="0" w:type="dxa"/>
              <w:left w:w="108" w:type="dxa"/>
              <w:bottom w:w="0" w:type="dxa"/>
              <w:right w:w="108" w:type="dxa"/>
            </w:tcMar>
          </w:tcPr>
          <w:p w:rsidR="001469A6" w:rsidRDefault="0039042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1469A6" w:rsidRDefault="0039042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1469A6" w:rsidRDefault="0039042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1469A6" w:rsidRDefault="0039042C">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1469A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1469A6" w:rsidRDefault="0039042C">
            <w:pPr>
              <w:numPr>
                <w:ilvl w:val="0"/>
                <w:numId w:val="2"/>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eligible to use the Framework Contract; and</w:t>
            </w:r>
          </w:p>
          <w:p w:rsidR="001469A6" w:rsidRDefault="0039042C">
            <w:pPr>
              <w:numPr>
                <w:ilvl w:val="0"/>
                <w:numId w:val="2"/>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is entering into an Exempt Call-off Contract that is not subject to (as applicable) any of:</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Regulations;</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Remedies Directive (2007/66/EC);</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2014/24/EU of the European Parliament and Council;</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2014/25/EU o</w:t>
            </w:r>
            <w:r>
              <w:rPr>
                <w:rFonts w:ascii="Arial" w:eastAsia="Arial" w:hAnsi="Arial" w:cs="Arial"/>
                <w:color w:val="000000"/>
                <w:sz w:val="24"/>
                <w:szCs w:val="24"/>
              </w:rPr>
              <w:t>f the European Parliament and Council; or</w:t>
            </w:r>
          </w:p>
          <w:p w:rsidR="001469A6" w:rsidRDefault="0039042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1469A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Call-off Contract</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1469A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 xml:space="preserve">Exempt </w:t>
            </w:r>
            <w:r>
              <w:rPr>
                <w:rFonts w:ascii="Arial" w:eastAsia="Arial" w:hAnsi="Arial" w:cs="Arial"/>
                <w:b/>
                <w:sz w:val="24"/>
                <w:szCs w:val="24"/>
              </w:rPr>
              <w:t>Procurement Amendments</w:t>
            </w:r>
            <w:r>
              <w:rPr>
                <w:rFonts w:ascii="Arial" w:eastAsia="Arial" w:hAnsi="Arial" w:cs="Arial"/>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469A6" w:rsidRDefault="0039042C">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4"/>
                <w:szCs w:val="24"/>
              </w:rPr>
              <w:t>legal requirements applicable to that Exempt Buyer;</w:t>
            </w:r>
          </w:p>
        </w:tc>
      </w:tr>
    </w:tbl>
    <w:p w:rsidR="001469A6" w:rsidRDefault="001469A6">
      <w:pPr>
        <w:widowControl w:val="0"/>
        <w:pBdr>
          <w:top w:val="nil"/>
          <w:left w:val="nil"/>
          <w:bottom w:val="nil"/>
          <w:right w:val="nil"/>
          <w:between w:val="nil"/>
        </w:pBdr>
        <w:spacing w:after="0"/>
        <w:rPr>
          <w:rFonts w:ascii="Arial" w:eastAsia="Arial" w:hAnsi="Arial" w:cs="Arial"/>
          <w:color w:val="000000"/>
        </w:rPr>
      </w:pPr>
    </w:p>
    <w:tbl>
      <w:tblPr>
        <w:tblStyle w:val="a7"/>
        <w:tblW w:w="981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0"/>
        <w:gridCol w:w="7320"/>
      </w:tblGrid>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0" w:type="auto"/>
          </w:tcPr>
          <w:p w:rsidR="001469A6" w:rsidRDefault="0039042C">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Financial Reports</w:t>
            </w:r>
          </w:p>
        </w:tc>
        <w:tc>
          <w:tcPr>
            <w:tcW w:w="0" w:type="auto"/>
          </w:tcPr>
          <w:p w:rsidR="001469A6" w:rsidRDefault="0039042C">
            <w:pPr>
              <w:tabs>
                <w:tab w:val="left" w:pos="-179"/>
                <w:tab w:val="left" w:pos="-9"/>
              </w:tabs>
              <w:spacing w:after="120" w:line="276" w:lineRule="auto"/>
              <w:ind w:left="160"/>
              <w:jc w:val="both"/>
              <w:rPr>
                <w:rFonts w:ascii="Arial" w:eastAsia="Arial" w:hAnsi="Arial" w:cs="Arial"/>
                <w:sz w:val="24"/>
                <w:szCs w:val="24"/>
              </w:rPr>
            </w:pPr>
            <w:r>
              <w:rPr>
                <w:rFonts w:ascii="Arial" w:eastAsia="Arial" w:hAnsi="Arial" w:cs="Arial"/>
                <w:sz w:val="24"/>
                <w:szCs w:val="24"/>
              </w:rPr>
              <w:t>a report by the Supplier to the Buyer that:</w:t>
            </w:r>
          </w:p>
          <w:p w:rsidR="001469A6" w:rsidRDefault="0039042C">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a)</w:t>
            </w:r>
            <w:r>
              <w:rPr>
                <w:rFonts w:ascii="Times New Roman" w:eastAsia="Times New Roman" w:hAnsi="Times New Roman" w:cs="Times New Roman"/>
                <w:sz w:val="14"/>
                <w:szCs w:val="14"/>
              </w:rPr>
              <w:t xml:space="preserve">  </w:t>
            </w:r>
            <w:r>
              <w:rPr>
                <w:rFonts w:ascii="Arial" w:eastAsia="Arial" w:hAnsi="Arial" w:cs="Arial"/>
                <w:sz w:val="24"/>
                <w:szCs w:val="24"/>
              </w:rPr>
              <w:t>provides a true and fair reflection of the Costs and Supplier Profit Margin forecast by the Supplier;</w:t>
            </w:r>
          </w:p>
          <w:p w:rsidR="001469A6" w:rsidRDefault="0039042C">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b)</w:t>
            </w:r>
            <w:r>
              <w:rPr>
                <w:rFonts w:ascii="Times New Roman" w:eastAsia="Times New Roman" w:hAnsi="Times New Roman" w:cs="Times New Roman"/>
                <w:sz w:val="14"/>
                <w:szCs w:val="14"/>
              </w:rPr>
              <w:t xml:space="preserve">  </w:t>
            </w:r>
            <w:r>
              <w:rPr>
                <w:rFonts w:ascii="Arial" w:eastAsia="Arial" w:hAnsi="Arial" w:cs="Arial"/>
                <w:sz w:val="24"/>
                <w:szCs w:val="24"/>
              </w:rPr>
              <w:t>provides a true and fair reflection of the costs and expenses to be incurred by Key Subcontractors (as requested by the Buyer);</w:t>
            </w:r>
          </w:p>
          <w:p w:rsidR="001469A6" w:rsidRDefault="0039042C">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c)</w:t>
            </w:r>
            <w:r>
              <w:rPr>
                <w:rFonts w:ascii="Times New Roman" w:eastAsia="Times New Roman" w:hAnsi="Times New Roman" w:cs="Times New Roman"/>
                <w:sz w:val="14"/>
                <w:szCs w:val="14"/>
              </w:rPr>
              <w:t xml:space="preserve">  </w:t>
            </w:r>
            <w:r>
              <w:rPr>
                <w:rFonts w:ascii="Arial" w:eastAsia="Arial" w:hAnsi="Arial" w:cs="Arial"/>
                <w:sz w:val="24"/>
                <w:szCs w:val="24"/>
              </w:rPr>
              <w:t>is in the same sof</w:t>
            </w:r>
            <w:r>
              <w:rPr>
                <w:rFonts w:ascii="Arial" w:eastAsia="Arial" w:hAnsi="Arial" w:cs="Arial"/>
                <w:sz w:val="24"/>
                <w:szCs w:val="24"/>
              </w:rPr>
              <w:t>tware package (Microsoft Excel or Microsoft Word), layout and format as the blank templates which have been issued by the Buyer to the Supplier on or before the Start Date for the purposes of the Contract; and</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is certified by the Supplier’s Chief Financial Officer or Director of Finance;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w:t>
            </w:r>
            <w:r>
              <w:rPr>
                <w:rFonts w:ascii="Arial" w:eastAsia="Arial" w:hAnsi="Arial" w:cs="Arial"/>
                <w:sz w:val="24"/>
                <w:szCs w:val="24"/>
              </w:rPr>
              <w:t xml:space="preserve">as amended from time to time </w:t>
            </w:r>
            <w:r>
              <w:rPr>
                <w:rFonts w:ascii="Arial" w:eastAsia="Arial" w:hAnsi="Arial" w:cs="Arial"/>
                <w:color w:val="000000"/>
                <w:sz w:val="24"/>
                <w:szCs w:val="24"/>
              </w:rPr>
              <w:t>and any subordinate legislation made under that Act from time to time together with any guidance and/or codes of practice issued by the Information Commissioner or relevant Government department in relation to such legislation;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w:t>
            </w:r>
            <w:r>
              <w:rPr>
                <w:rFonts w:ascii="Arial" w:eastAsia="Arial" w:hAnsi="Arial" w:cs="Arial"/>
                <w:color w:val="000000"/>
                <w:sz w:val="24"/>
                <w:szCs w:val="24"/>
              </w:rPr>
              <w:t>vent outside the reasonable control of either Party affecting its performance of its obligations under the Contract arising from acts, events, omissions, happenings or non-happenings beyond its reasonable control and which are not attributable to any wilfu</w:t>
            </w:r>
            <w:r>
              <w:rPr>
                <w:rFonts w:ascii="Arial" w:eastAsia="Arial" w:hAnsi="Arial" w:cs="Arial"/>
                <w:color w:val="000000"/>
                <w:sz w:val="24"/>
                <w:szCs w:val="24"/>
              </w:rPr>
              <w:t>l act, neglect or failure to take reasonable preventative action by that Party, including:</w:t>
            </w:r>
          </w:p>
          <w:p w:rsidR="001469A6" w:rsidRDefault="0039042C">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1469A6" w:rsidRDefault="0039042C">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acts of terrorism;</w:t>
            </w:r>
          </w:p>
          <w:p w:rsidR="001469A6" w:rsidRDefault="0039042C">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1469A6" w:rsidRDefault="0039042C">
            <w:pPr>
              <w:numPr>
                <w:ilvl w:val="0"/>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document outlining the Framework Incorporated Terms and crucial information required </w:t>
            </w:r>
            <w:r>
              <w:rPr>
                <w:rFonts w:ascii="Arial" w:eastAsia="Arial" w:hAnsi="Arial" w:cs="Arial"/>
                <w:color w:val="000000"/>
                <w:sz w:val="24"/>
                <w:szCs w:val="24"/>
              </w:rPr>
              <w:t>for the Framework Contract, to be executed by the Supplier and CCS;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Contract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Framework Initial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initial term of the Framework Contract as specified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0" w:type="auto"/>
          </w:tcPr>
          <w:p w:rsidR="001469A6" w:rsidRDefault="0039042C">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legislation in Part 5 of the Finance Act 2013</w:t>
            </w:r>
            <w:r>
              <w:rPr>
                <w:rFonts w:ascii="Arial" w:eastAsia="Arial" w:hAnsi="Arial" w:cs="Arial"/>
                <w:sz w:val="24"/>
                <w:szCs w:val="24"/>
              </w:rPr>
              <w:t>; and</w:t>
            </w:r>
            <w:r>
              <w:rPr>
                <w:rFonts w:ascii="Arial" w:eastAsia="Arial" w:hAnsi="Arial" w:cs="Arial"/>
                <w:color w:val="000000"/>
                <w:sz w:val="24"/>
                <w:szCs w:val="24"/>
              </w:rPr>
              <w:t xml:space="preserve"> </w:t>
            </w:r>
          </w:p>
          <w:p w:rsidR="001469A6" w:rsidRDefault="0039042C">
            <w:pPr>
              <w:numPr>
                <w:ilvl w:val="0"/>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Gold Contract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 Call-Off Contract categorised as a Gold contract using the Cabinet Office Contract Tiering Tool;</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w:t>
            </w:r>
            <w:r>
              <w:rPr>
                <w:rFonts w:ascii="Arial" w:eastAsia="Arial" w:hAnsi="Arial" w:cs="Arial"/>
                <w:color w:val="000000"/>
                <w:sz w:val="24"/>
                <w:szCs w:val="24"/>
              </w:rPr>
              <w:t xml:space="preserve"> Order Form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w:t>
            </w:r>
            <w:r>
              <w:rPr>
                <w:rFonts w:ascii="Arial" w:eastAsia="Arial" w:hAnsi="Arial" w:cs="Arial"/>
                <w:color w:val="000000"/>
                <w:sz w:val="24"/>
                <w:szCs w:val="24"/>
              </w:rPr>
              <w:t>s and government departments and other bodies, persons, commissions or agencies from time to time carrying out functions on its behalf;</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0" w:type="auto"/>
          </w:tcPr>
          <w:p w:rsidR="001469A6" w:rsidRDefault="0039042C">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1469A6" w:rsidRDefault="0039042C">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1469A6" w:rsidRDefault="0039042C">
            <w:pPr>
              <w:numPr>
                <w:ilvl w:val="2"/>
                <w:numId w:val="1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HM Government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Her Majesty's Government;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Health and Social Care Network or HCSN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government’s network for health and social care, which helps all organisations involved in health and social care delivery to work together</w:t>
            </w:r>
            <w:r>
              <w:rPr>
                <w:rFonts w:ascii="Arial" w:eastAsia="Arial" w:hAnsi="Arial" w:cs="Arial"/>
                <w:sz w:val="24"/>
                <w:szCs w:val="24"/>
                <w:highlight w:val="white"/>
              </w:rPr>
              <w:t xml:space="preserve"> and interoperate; and as described at https://digital.nhs.uk/services/health-and-social-care-network;</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ICT Environment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ICT systems related to a Call-Off Contract described in Call-Off Schedule 6 (ICT Services);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w:t>
            </w:r>
            <w:r>
              <w:rPr>
                <w:rFonts w:ascii="Arial" w:eastAsia="Arial" w:hAnsi="Arial" w:cs="Arial"/>
                <w:color w:val="000000"/>
                <w:sz w:val="24"/>
                <w:szCs w:val="24"/>
              </w:rPr>
              <w:t>art Date (a copy of which has been supplied to the Supplier), as updated from time to time in accordance with the Variation Procedure;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ICT Services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ICT related Services to be delivered under a Call-Off Contract described in Call-Off Schedule 6 (ICT Services);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1469A6" w:rsidRDefault="0039042C">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1469A6" w:rsidRDefault="0039042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1469A6" w:rsidRDefault="0039042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1469A6" w:rsidRDefault="0039042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1469A6" w:rsidRDefault="0039042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w:t>
            </w:r>
            <w:r>
              <w:rPr>
                <w:rFonts w:ascii="Arial" w:eastAsia="Arial" w:hAnsi="Arial" w:cs="Arial"/>
                <w:color w:val="000000"/>
                <w:sz w:val="24"/>
                <w:szCs w:val="24"/>
              </w:rPr>
              <w:t xml:space="preserve"> 123 of the Insolvency Act 1986,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a petition is presented (which is not dismissed within 14 days of its service), a notice is given, a resolution is passed, or an order is made, for </w:t>
            </w:r>
            <w:r>
              <w:rPr>
                <w:rFonts w:ascii="Arial" w:eastAsia="Arial" w:hAnsi="Arial" w:cs="Arial"/>
                <w:color w:val="000000"/>
                <w:sz w:val="24"/>
                <w:szCs w:val="24"/>
              </w:rPr>
              <w:t>or in connection with the winding up of that person other than for the sole purpose of a scheme for a solvent amalgamation of that person with one or more other companies or the solvent reconstruction of that person;</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w:t>
            </w:r>
            <w:r>
              <w:rPr>
                <w:rFonts w:ascii="Arial" w:eastAsia="Arial" w:hAnsi="Arial" w:cs="Arial"/>
                <w:color w:val="000000"/>
                <w:sz w:val="24"/>
                <w:szCs w:val="24"/>
              </w:rPr>
              <w:t>r an order is made, for the appointment of an administrator, or if a notice of intention to appoint an administrator is filed at Court or given or if an administrator is appointed, over that person;</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w:t>
            </w:r>
            <w:r>
              <w:rPr>
                <w:rFonts w:ascii="Arial" w:eastAsia="Arial" w:hAnsi="Arial" w:cs="Arial"/>
                <w:color w:val="000000"/>
                <w:sz w:val="24"/>
                <w:szCs w:val="24"/>
              </w:rPr>
              <w:t>ng floating charge over the assets of that person has become entitled to appoint or has appointed an administrative receiver;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(iv) (being a partnership) the holder of an agricultural floating charge over the assets of that person has become entitled to </w:t>
            </w:r>
            <w:r>
              <w:rPr>
                <w:rFonts w:ascii="Arial" w:eastAsia="Arial" w:hAnsi="Arial" w:cs="Arial"/>
                <w:color w:val="000000"/>
                <w:sz w:val="24"/>
                <w:szCs w:val="24"/>
              </w:rPr>
              <w:t>appoint or has appointed an agricultural receiver; or</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0" w:type="auto"/>
          </w:tcPr>
          <w:p w:rsidR="001469A6" w:rsidRDefault="0039042C">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1469A6" w:rsidRDefault="0039042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1469A6" w:rsidRDefault="0039042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ISO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469A6" w:rsidRDefault="0039042C">
            <w:pPr>
              <w:tabs>
                <w:tab w:val="left" w:pos="-179"/>
                <w:tab w:val="left" w:pos="-9"/>
              </w:tabs>
              <w:spacing w:after="120" w:line="276" w:lineRule="auto"/>
              <w:ind w:left="160"/>
              <w:jc w:val="both"/>
              <w:rPr>
                <w:rFonts w:ascii="Arial" w:eastAsia="Arial" w:hAnsi="Arial" w:cs="Arial"/>
                <w:sz w:val="24"/>
                <w:szCs w:val="24"/>
              </w:rPr>
            </w:pPr>
            <w:r>
              <w:rPr>
                <w:rFonts w:ascii="Arial" w:eastAsia="Arial" w:hAnsi="Arial" w:cs="Arial"/>
                <w:sz w:val="24"/>
                <w:szCs w:val="24"/>
              </w:rPr>
              <w:t>International Organization for Standardization;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1469A6">
        <w:trPr>
          <w:trHeight w:val="357"/>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1469A6">
        <w:trPr>
          <w:trHeight w:val="426"/>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1469A6" w:rsidRDefault="0039042C">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1469A6" w:rsidRDefault="0039042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1469A6" w:rsidRDefault="0039042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1469A6" w:rsidRDefault="0039042C">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0" w:type="auto"/>
          </w:tcPr>
          <w:p w:rsidR="001469A6" w:rsidRDefault="0039042C">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0" w:type="auto"/>
          </w:tcPr>
          <w:p w:rsidR="001469A6" w:rsidRDefault="0039042C">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0" w:type="auto"/>
          </w:tcPr>
          <w:p w:rsidR="001469A6" w:rsidRDefault="0039042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0" w:type="auto"/>
          </w:tcPr>
          <w:p w:rsidR="001469A6" w:rsidRDefault="0039042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1469A6" w:rsidRDefault="0039042C">
            <w:pPr>
              <w:numPr>
                <w:ilvl w:val="1"/>
                <w:numId w:val="11"/>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1469A6" w:rsidRDefault="0039042C">
            <w:pPr>
              <w:numPr>
                <w:ilvl w:val="1"/>
                <w:numId w:val="11"/>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1469A6" w:rsidRDefault="0039042C">
            <w:pPr>
              <w:numPr>
                <w:ilvl w:val="1"/>
                <w:numId w:val="11"/>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0" w:type="auto"/>
          </w:tcPr>
          <w:p w:rsidR="001469A6" w:rsidRDefault="0039042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0" w:type="auto"/>
          </w:tcPr>
          <w:p w:rsidR="001469A6" w:rsidRDefault="0039042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1469A6">
        <w:tc>
          <w:tcPr>
            <w:tcW w:w="0" w:type="auto"/>
          </w:tcPr>
          <w:p w:rsidR="001469A6" w:rsidRDefault="0039042C">
            <w:pPr>
              <w:tabs>
                <w:tab w:val="left" w:pos="1985"/>
              </w:tabs>
              <w:spacing w:before="120" w:after="120"/>
              <w:rPr>
                <w:rFonts w:ascii="Arial" w:eastAsia="Arial" w:hAnsi="Arial" w:cs="Arial"/>
                <w:b/>
                <w:color w:val="000000"/>
                <w:sz w:val="24"/>
                <w:szCs w:val="24"/>
              </w:rPr>
            </w:pPr>
            <w:r>
              <w:rPr>
                <w:rFonts w:ascii="Arial" w:eastAsia="Arial" w:hAnsi="Arial" w:cs="Arial"/>
                <w:b/>
                <w:sz w:val="24"/>
                <w:szCs w:val="24"/>
              </w:rPr>
              <w:t>Nationally Critical Public Sector Domains</w:t>
            </w:r>
          </w:p>
        </w:tc>
        <w:tc>
          <w:tcPr>
            <w:tcW w:w="0" w:type="auto"/>
          </w:tcPr>
          <w:p w:rsidR="001469A6" w:rsidRDefault="0039042C">
            <w:pPr>
              <w:tabs>
                <w:tab w:val="left" w:pos="1985"/>
              </w:tabs>
              <w:spacing w:before="120" w:after="120"/>
              <w:ind w:left="207"/>
              <w:jc w:val="both"/>
              <w:rPr>
                <w:rFonts w:ascii="Arial" w:eastAsia="Arial" w:hAnsi="Arial" w:cs="Arial"/>
                <w:sz w:val="24"/>
                <w:szCs w:val="24"/>
              </w:rPr>
            </w:pPr>
            <w:r>
              <w:rPr>
                <w:rFonts w:ascii="Arial" w:eastAsia="Arial" w:hAnsi="Arial" w:cs="Arial"/>
                <w:sz w:val="24"/>
                <w:szCs w:val="24"/>
              </w:rPr>
              <w:t>domains where loss of access or an outage (for any reason) would cause immediate and extended outages of public-facing digital services, disrupting citizens’ access to the services they depend on including benefits, and loss and disruption of all Governmen</w:t>
            </w:r>
            <w:r>
              <w:rPr>
                <w:rFonts w:ascii="Arial" w:eastAsia="Arial" w:hAnsi="Arial" w:cs="Arial"/>
                <w:sz w:val="24"/>
                <w:szCs w:val="24"/>
              </w:rPr>
              <w:t>t internal communications, including public servants accessing their own internal IT.</w:t>
            </w:r>
          </w:p>
          <w:p w:rsidR="001469A6" w:rsidRDefault="0039042C">
            <w:pPr>
              <w:tabs>
                <w:tab w:val="left" w:pos="1985"/>
              </w:tabs>
              <w:spacing w:before="120" w:after="120"/>
              <w:ind w:left="207"/>
              <w:jc w:val="both"/>
              <w:rPr>
                <w:rFonts w:ascii="Arial" w:eastAsia="Arial" w:hAnsi="Arial" w:cs="Arial"/>
                <w:sz w:val="24"/>
                <w:szCs w:val="24"/>
              </w:rPr>
            </w:pPr>
            <w:r>
              <w:rPr>
                <w:rFonts w:ascii="Arial" w:eastAsia="Arial" w:hAnsi="Arial" w:cs="Arial"/>
                <w:sz w:val="24"/>
                <w:szCs w:val="24"/>
              </w:rPr>
              <w:t>There are a number of nationally critical domains within the UK, including but not limited to .</w:t>
            </w:r>
            <w:hyperlink r:id="rId9">
              <w:r>
                <w:rPr>
                  <w:rFonts w:ascii="Arial" w:eastAsia="Arial" w:hAnsi="Arial" w:cs="Arial"/>
                  <w:sz w:val="24"/>
                  <w:szCs w:val="24"/>
                </w:rPr>
                <w:t>gov.uk</w:t>
              </w:r>
            </w:hyperlink>
            <w:r>
              <w:rPr>
                <w:rFonts w:ascii="Arial" w:eastAsia="Arial" w:hAnsi="Arial" w:cs="Arial"/>
                <w:sz w:val="24"/>
                <w:szCs w:val="24"/>
              </w:rPr>
              <w:t>, .</w:t>
            </w:r>
            <w:hyperlink r:id="rId10">
              <w:r>
                <w:rPr>
                  <w:rFonts w:ascii="Arial" w:eastAsia="Arial" w:hAnsi="Arial" w:cs="Arial"/>
                  <w:sz w:val="24"/>
                  <w:szCs w:val="24"/>
                </w:rPr>
                <w:t>nhs.uk</w:t>
              </w:r>
            </w:hyperlink>
            <w:r>
              <w:rPr>
                <w:rFonts w:ascii="Arial" w:eastAsia="Arial" w:hAnsi="Arial" w:cs="Arial"/>
                <w:sz w:val="24"/>
                <w:szCs w:val="24"/>
              </w:rPr>
              <w:t>, gov.scot, gov.wales, .</w:t>
            </w:r>
            <w:hyperlink r:id="rId11">
              <w:r>
                <w:rPr>
                  <w:rFonts w:ascii="Arial" w:eastAsia="Arial" w:hAnsi="Arial" w:cs="Arial"/>
                  <w:sz w:val="24"/>
                  <w:szCs w:val="24"/>
                </w:rPr>
                <w:t>police.uk</w:t>
              </w:r>
            </w:hyperlink>
            <w:r>
              <w:rPr>
                <w:rFonts w:ascii="Arial" w:eastAsia="Arial" w:hAnsi="Arial" w:cs="Arial"/>
                <w:sz w:val="24"/>
                <w:szCs w:val="24"/>
              </w:rPr>
              <w:t xml:space="preserve"> and .</w:t>
            </w:r>
            <w:hyperlink r:id="rId12">
              <w:r>
                <w:rPr>
                  <w:rFonts w:ascii="Arial" w:eastAsia="Arial" w:hAnsi="Arial" w:cs="Arial"/>
                  <w:sz w:val="24"/>
                  <w:szCs w:val="24"/>
                </w:rPr>
                <w:t>mod.uk</w:t>
              </w:r>
            </w:hyperlink>
            <w:r>
              <w:rPr>
                <w:rFonts w:ascii="Arial" w:eastAsia="Arial" w:hAnsi="Arial" w:cs="Arial"/>
                <w:sz w:val="24"/>
                <w:szCs w:val="24"/>
              </w:rPr>
              <w: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0" w:type="auto"/>
          </w:tcPr>
          <w:p w:rsidR="001469A6" w:rsidRDefault="0039042C">
            <w:pPr>
              <w:numPr>
                <w:ilvl w:val="1"/>
                <w:numId w:val="2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1469A6" w:rsidRDefault="0039042C">
            <w:pPr>
              <w:numPr>
                <w:ilvl w:val="1"/>
                <w:numId w:val="2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1469A6" w:rsidRDefault="0039042C">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1469A6" w:rsidRDefault="0039042C">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1469A6" w:rsidRDefault="0039042C">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1469A6" w:rsidRDefault="0039042C">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1469A6" w:rsidRDefault="0039042C">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1469A6" w:rsidRDefault="0039042C">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1469A6" w:rsidRDefault="0039042C">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1469A6" w:rsidRDefault="0039042C">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1469A6" w:rsidRDefault="0039042C">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1469A6" w:rsidRDefault="0039042C">
            <w:pPr>
              <w:numPr>
                <w:ilvl w:val="1"/>
                <w:numId w:val="2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1469A6" w:rsidRDefault="0039042C">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3">
              <w:r>
                <w:rPr>
                  <w:rFonts w:ascii="Arial" w:eastAsia="Arial" w:hAnsi="Arial" w:cs="Arial"/>
                  <w:color w:val="0000FF"/>
                  <w:sz w:val="24"/>
                  <w:szCs w:val="24"/>
                  <w:u w:val="single"/>
                </w:rPr>
                <w:t>https://www.gov.uk/government/publications/blowing-the-whistle-list-of-prescribed-people-and-bodies--2/whistleblow</w:t>
              </w:r>
              <w:r>
                <w:rPr>
                  <w:rFonts w:ascii="Arial" w:eastAsia="Arial" w:hAnsi="Arial" w:cs="Arial"/>
                  <w:color w:val="0000FF"/>
                  <w:sz w:val="24"/>
                  <w:szCs w:val="24"/>
                  <w:u w:val="single"/>
                </w:rPr>
                <w:t>ing-list-of-prescribed-people-and-bodies</w:t>
              </w:r>
            </w:hyperlink>
            <w:r>
              <w:rPr>
                <w:rFonts w:ascii="Arial" w:eastAsia="Arial" w:hAnsi="Arial" w:cs="Arial"/>
                <w:color w:val="000000"/>
                <w:sz w:val="24"/>
                <w:szCs w:val="24"/>
              </w:rPr>
              <w: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Primary Services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components described in paragraph 1.2.2 of Part A of Framework Schedule 1 (Specification);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0" w:type="auto"/>
          </w:tcPr>
          <w:p w:rsidR="001469A6" w:rsidRDefault="0039042C">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rsidR="001469A6" w:rsidRDefault="0039042C">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w:t>
            </w:r>
            <w:r>
              <w:rPr>
                <w:rFonts w:ascii="Arial" w:eastAsia="Arial" w:hAnsi="Arial" w:cs="Arial"/>
                <w:color w:val="000000"/>
                <w:sz w:val="24"/>
                <w:szCs w:val="24"/>
              </w:rPr>
              <w:t>th each Contract; or</w:t>
            </w:r>
          </w:p>
          <w:p w:rsidR="001469A6" w:rsidRDefault="0039042C">
            <w:pPr>
              <w:numPr>
                <w:ilvl w:val="1"/>
                <w:numId w:val="2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1469A6" w:rsidRDefault="0039042C">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1469A6" w:rsidRDefault="0039042C">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Public Services Network or PSN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network of networks delivered through multiple service providers, as further detailed in the PSN operating mo</w:t>
            </w:r>
            <w:r>
              <w:rPr>
                <w:rFonts w:ascii="Arial" w:eastAsia="Arial" w:hAnsi="Arial" w:cs="Arial"/>
                <w:sz w:val="24"/>
                <w:szCs w:val="24"/>
                <w:highlight w:val="white"/>
              </w:rPr>
              <w:t>del; and described at https://www.gov.uk/government/groups/public-services-network;</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Rating Agency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as defined in the Framework Award Form or the Order Form, as the context requires;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w:t>
            </w:r>
            <w:r>
              <w:rPr>
                <w:rFonts w:ascii="Arial" w:eastAsia="Arial" w:hAnsi="Arial" w:cs="Arial"/>
                <w:color w:val="000000"/>
                <w:sz w:val="24"/>
                <w:szCs w:val="24"/>
              </w:rPr>
              <w:t>eceives or obtains directly or indirectly Confidential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1469A6" w:rsidRDefault="0039042C">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1469A6" w:rsidRDefault="0039042C">
            <w:pPr>
              <w:numPr>
                <w:ilvl w:val="1"/>
                <w:numId w:val="2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1469A6" w:rsidRDefault="0039042C">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 as amended from ti</w:t>
            </w:r>
            <w:r>
              <w:rPr>
                <w:rFonts w:ascii="Arial" w:eastAsia="Arial" w:hAnsi="Arial" w:cs="Arial"/>
                <w:sz w:val="24"/>
                <w:szCs w:val="24"/>
              </w:rPr>
              <w:t>me to time;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w:t>
            </w:r>
            <w:r>
              <w:rPr>
                <w:rFonts w:ascii="Arial" w:eastAsia="Arial" w:hAnsi="Arial" w:cs="Arial"/>
                <w:b/>
                <w:color w:val="000000"/>
                <w:sz w:val="24"/>
                <w:szCs w:val="24"/>
              </w:rPr>
              <w:t>e Expenses"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1469A6" w:rsidRDefault="0039042C">
            <w:pPr>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1469A6" w:rsidRDefault="0039042C">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0" w:type="auto"/>
          </w:tcPr>
          <w:p w:rsidR="001469A6" w:rsidRDefault="0039042C">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1469A6" w:rsidRDefault="0039042C">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0" w:type="auto"/>
          </w:tcPr>
          <w:p w:rsidR="001469A6" w:rsidRDefault="0039042C">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0" w:type="auto"/>
          </w:tcPr>
          <w:p w:rsidR="001469A6" w:rsidRDefault="0039042C">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RTI</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Real Time Information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w:t>
            </w:r>
            <w:r>
              <w:rPr>
                <w:rFonts w:ascii="Arial" w:eastAsia="Arial" w:hAnsi="Arial" w:cs="Arial"/>
                <w:color w:val="000000"/>
                <w:sz w:val="24"/>
                <w:szCs w:val="24"/>
              </w:rPr>
              <w:t xml:space="preserve"> Part B of Call-Off Schedule 13 (Implementation Plan and Testing) or as agreed by the Parties where Call-Off Schedule 13 is not used in this Contract) granted by the Buyer when the Supplier has met all of the requirements of an Order, Achieved a Milestone </w:t>
            </w:r>
            <w:r>
              <w:rPr>
                <w:rFonts w:ascii="Arial" w:eastAsia="Arial" w:hAnsi="Arial" w:cs="Arial"/>
                <w:color w:val="000000"/>
                <w:sz w:val="24"/>
                <w:szCs w:val="24"/>
              </w:rPr>
              <w:t>or a Test;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Service Offer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a Delivera</w:t>
            </w:r>
            <w:r>
              <w:rPr>
                <w:rFonts w:ascii="Arial" w:eastAsia="Arial" w:hAnsi="Arial" w:cs="Arial"/>
                <w:sz w:val="24"/>
                <w:szCs w:val="24"/>
                <w:highlight w:val="white"/>
              </w:rPr>
              <w:t>ble made available to Buyers by the Supplier via the Catalogue;</w:t>
            </w:r>
          </w:p>
        </w:tc>
      </w:tr>
      <w:tr w:rsidR="001469A6">
        <w:tc>
          <w:tcPr>
            <w:tcW w:w="0" w:type="auto"/>
          </w:tcPr>
          <w:p w:rsidR="001469A6" w:rsidRDefault="0039042C">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Offer Effective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highlight w:val="white"/>
              </w:rPr>
            </w:pPr>
            <w:r>
              <w:rPr>
                <w:rFonts w:ascii="Arial" w:eastAsia="Arial" w:hAnsi="Arial" w:cs="Arial"/>
                <w:sz w:val="24"/>
                <w:szCs w:val="24"/>
                <w:highlight w:val="white"/>
              </w:rPr>
              <w:t>the date when the Service Offer will be available to Buyers on the Catalogue;</w:t>
            </w:r>
          </w:p>
        </w:tc>
      </w:tr>
      <w:tr w:rsidR="001469A6">
        <w:tc>
          <w:tcPr>
            <w:tcW w:w="0" w:type="auto"/>
          </w:tcPr>
          <w:p w:rsidR="001469A6" w:rsidRDefault="0039042C">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Offer Expiry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highlight w:val="white"/>
              </w:rPr>
            </w:pPr>
            <w:r>
              <w:rPr>
                <w:rFonts w:ascii="Arial" w:eastAsia="Arial" w:hAnsi="Arial" w:cs="Arial"/>
                <w:sz w:val="24"/>
                <w:szCs w:val="24"/>
                <w:highlight w:val="white"/>
              </w:rPr>
              <w:t>the date the Service Offer will be/was removed from the Catalogue;</w:t>
            </w:r>
          </w:p>
        </w:tc>
      </w:tr>
      <w:tr w:rsidR="001469A6">
        <w:tc>
          <w:tcPr>
            <w:tcW w:w="0" w:type="auto"/>
          </w:tcPr>
          <w:p w:rsidR="001469A6" w:rsidRDefault="0039042C">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Offer Price Card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highlight w:val="white"/>
              </w:rPr>
            </w:pPr>
            <w:r>
              <w:rPr>
                <w:rFonts w:ascii="Arial" w:eastAsia="Arial" w:hAnsi="Arial" w:cs="Arial"/>
                <w:sz w:val="24"/>
                <w:szCs w:val="24"/>
                <w:highlight w:val="white"/>
              </w:rPr>
              <w:t>a list of prices, rates and other amounts for a specific Service Offer;</w:t>
            </w:r>
          </w:p>
        </w:tc>
      </w:tr>
      <w:tr w:rsidR="001469A6">
        <w:tc>
          <w:tcPr>
            <w:tcW w:w="0" w:type="auto"/>
          </w:tcPr>
          <w:p w:rsidR="001469A6" w:rsidRDefault="0039042C">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Offer Template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the template set out at Annex 1 to Part B of Framework Schedule 3 (Framework Prices);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transfer of the Deliverables (or any part of the Deliverables), for </w:t>
            </w:r>
            <w:r>
              <w:rPr>
                <w:rFonts w:ascii="Arial" w:eastAsia="Arial" w:hAnsi="Arial" w:cs="Arial"/>
                <w:color w:val="000000"/>
                <w:sz w:val="24"/>
                <w:szCs w:val="24"/>
              </w:rPr>
              <w:t>whatever reason, from the Supplier or any Subcontractor to a Replacement Supplier or a Replacement Subcontractor;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1469A6" w:rsidRDefault="0039042C">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1469A6" w:rsidRDefault="0039042C">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1469A6">
        <w:trPr>
          <w:trHeight w:val="945"/>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1469A6">
        <w:trPr>
          <w:trHeight w:val="945"/>
        </w:trPr>
        <w:tc>
          <w:tcPr>
            <w:tcW w:w="0" w:type="auto"/>
          </w:tcPr>
          <w:p w:rsidR="001469A6" w:rsidRDefault="0039042C">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Smart Cities </w:t>
            </w:r>
          </w:p>
          <w:p w:rsidR="001469A6" w:rsidRDefault="0039042C">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(Smart share and connected spaces)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use of  information, and communication technologies to increase operational efficiency, share information with the public and improve both the quality of government services and citizen welfare.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 xml:space="preserve">Solutions in this area generally combine a number of technologies, including sensors for the collection of data, connectivity to cloud hosted data management platforms, and data visualisation applications. </w:t>
            </w:r>
          </w:p>
        </w:tc>
      </w:tr>
      <w:tr w:rsidR="001469A6">
        <w:trPr>
          <w:trHeight w:val="945"/>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1469A6">
        <w:trPr>
          <w:trHeight w:val="945"/>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w:t>
            </w:r>
            <w:r>
              <w:rPr>
                <w:rFonts w:ascii="Arial" w:eastAsia="Arial" w:hAnsi="Arial" w:cs="Arial"/>
                <w:color w:val="000000"/>
                <w:sz w:val="24"/>
                <w:szCs w:val="24"/>
              </w:rPr>
              <w:t>ble Supply where the effect of that Specific Change in Law on the Deliverables is not reasonably foreseeable at the Start Date;</w:t>
            </w:r>
          </w:p>
        </w:tc>
      </w:tr>
      <w:tr w:rsidR="001469A6">
        <w:trPr>
          <w:trHeight w:val="945"/>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1469A6" w:rsidRDefault="0039042C">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1469A6" w:rsidRDefault="0039042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1469A6" w:rsidRDefault="0039042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1469A6" w:rsidRDefault="0039042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1469A6" w:rsidRDefault="0039042C">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1469A6" w:rsidRDefault="0039042C">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1469A6" w:rsidRDefault="0039042C">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1469A6">
        <w:trPr>
          <w:trHeight w:val="480"/>
        </w:trPr>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w:t>
            </w:r>
            <w:r>
              <w:rPr>
                <w:rFonts w:ascii="Arial" w:eastAsia="Arial" w:hAnsi="Arial" w:cs="Arial"/>
                <w:color w:val="000000"/>
                <w:sz w:val="24"/>
                <w:szCs w:val="24"/>
              </w:rPr>
              <w:t>rm or company identified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Supplier Action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a document, maintained by the Authority, capturing information about the relationship between the Parties including, but not limited to strategic objectives, actions, initiatives, communication channels, risks and supplier performance;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w:t>
            </w:r>
            <w:r>
              <w:rPr>
                <w:rFonts w:ascii="Arial" w:eastAsia="Arial" w:hAnsi="Arial" w:cs="Arial"/>
                <w:color w:val="000000"/>
                <w:sz w:val="24"/>
                <w:szCs w:val="24"/>
              </w:rPr>
              <w:t xml:space="preserve">Form, or later defined in a Call-Off Contract;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0" w:type="auto"/>
          </w:tcPr>
          <w:p w:rsidR="001469A6" w:rsidRDefault="0039042C">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1469A6" w:rsidRDefault="0039042C">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1469A6" w:rsidRDefault="0039042C">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1469A6">
        <w:tc>
          <w:tcPr>
            <w:tcW w:w="0" w:type="auto"/>
          </w:tcPr>
          <w:p w:rsidR="001469A6" w:rsidRDefault="0039042C">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0" w:type="auto"/>
          </w:tcPr>
          <w:p w:rsidR="001469A6" w:rsidRDefault="0039042C">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1469A6" w:rsidRDefault="0039042C">
            <w:pPr>
              <w:numPr>
                <w:ilvl w:val="1"/>
                <w:numId w:val="2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1469A6" w:rsidRDefault="0039042C">
            <w:pPr>
              <w:numPr>
                <w:ilvl w:val="1"/>
                <w:numId w:val="2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1469A6" w:rsidRDefault="0039042C">
            <w:pPr>
              <w:numPr>
                <w:ilvl w:val="1"/>
                <w:numId w:val="2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0" w:type="auto"/>
          </w:tcPr>
          <w:p w:rsidR="001469A6" w:rsidRDefault="0039042C">
            <w:pPr>
              <w:numPr>
                <w:ilvl w:val="0"/>
                <w:numId w:val="2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1469A6" w:rsidRDefault="0039042C">
            <w:pPr>
              <w:numPr>
                <w:ilvl w:val="0"/>
                <w:numId w:val="2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1469A6" w:rsidRDefault="0039042C">
            <w:pPr>
              <w:numPr>
                <w:ilvl w:val="0"/>
                <w:numId w:val="2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1469A6" w:rsidRDefault="0039042C">
            <w:pPr>
              <w:numPr>
                <w:ilvl w:val="0"/>
                <w:numId w:val="2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TEM Provider</w:t>
            </w:r>
          </w:p>
        </w:tc>
        <w:tc>
          <w:tcPr>
            <w:tcW w:w="0" w:type="auto"/>
          </w:tcPr>
          <w:p w:rsidR="001469A6" w:rsidRDefault="0039042C">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sz w:val="24"/>
                <w:szCs w:val="24"/>
                <w:highlight w:val="white"/>
              </w:rPr>
              <w:t>a Supplier appointed by CCS to provide telecoms expense management;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1469A6" w:rsidRDefault="0039042C">
            <w:pPr>
              <w:numPr>
                <w:ilvl w:val="1"/>
                <w:numId w:val="19"/>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1469A6" w:rsidRDefault="0039042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Time and Materials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highlight w:val="white"/>
              </w:rPr>
              <w:t>a pricing mechanism whereby the Buyer agrees to pay the Supplier based upon the work performed by the Supplier's employees and Sub-Contractors, and for materials used in the project, no matter how much work is required to complete the project;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w:t>
            </w:r>
            <w:r>
              <w:rPr>
                <w:rFonts w:ascii="Arial" w:eastAsia="Arial" w:hAnsi="Arial" w:cs="Arial"/>
                <w:b/>
                <w:color w:val="000000"/>
                <w:sz w:val="24"/>
                <w:szCs w:val="24"/>
              </w:rPr>
              <w:t>ng Supplier Employees"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1469A6">
        <w:tc>
          <w:tcPr>
            <w:tcW w:w="0" w:type="auto"/>
          </w:tcPr>
          <w:p w:rsidR="001469A6" w:rsidRDefault="0039042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0" w:type="auto"/>
          </w:tcPr>
          <w:p w:rsidR="001469A6" w:rsidRDefault="0039042C">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1469A6" w:rsidRDefault="0039042C">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1469A6" w:rsidRDefault="0039042C">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1469A6" w:rsidRDefault="001469A6">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TUPE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Transfer of Undertakin</w:t>
            </w:r>
            <w:r>
              <w:rPr>
                <w:rFonts w:ascii="Arial" w:eastAsia="Arial" w:hAnsi="Arial" w:cs="Arial"/>
                <w:color w:val="202124"/>
                <w:sz w:val="24"/>
                <w:szCs w:val="24"/>
              </w:rPr>
              <w:t>gs (Protection of Employment) Regulations 2006 (SI 2006/246) as amended or replaced or any other regulations or UK legislation implementing the Acquired Rights Directive</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 xml:space="preserve">  United Kingdom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the country that consists of England, Scotland, Wales, and Northern Ireland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w:t>
            </w:r>
            <w:r>
              <w:rPr>
                <w:rFonts w:ascii="Arial" w:eastAsia="Arial" w:hAnsi="Arial" w:cs="Arial"/>
                <w:color w:val="000000"/>
                <w:sz w:val="24"/>
                <w:szCs w:val="24"/>
              </w:rPr>
              <w:t>individual to which Procurement Policy Note 08/15 (Tax Arrangements of Public Appointees) (https://www.gov.uk/government/publications/procurement-policy-note-0815-tax-arrangements-of-appointees) applies in respect of the Deliverables;</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1469A6">
        <w:tc>
          <w:tcPr>
            <w:tcW w:w="0" w:type="auto"/>
          </w:tcPr>
          <w:p w:rsidR="001469A6" w:rsidRDefault="0039042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0" w:type="auto"/>
          </w:tcPr>
          <w:p w:rsidR="001469A6" w:rsidRDefault="0039042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1469A6" w:rsidRDefault="001469A6">
      <w:pPr>
        <w:spacing w:after="0" w:line="240" w:lineRule="auto"/>
        <w:rPr>
          <w:rFonts w:ascii="Arial" w:eastAsia="Arial" w:hAnsi="Arial" w:cs="Arial"/>
          <w:sz w:val="24"/>
          <w:szCs w:val="24"/>
        </w:rPr>
      </w:pPr>
      <w:bookmarkStart w:id="6" w:name="_heading=h.gjdgxs" w:colFirst="0" w:colLast="0"/>
      <w:bookmarkEnd w:id="6"/>
    </w:p>
    <w:sectPr w:rsidR="001469A6">
      <w:headerReference w:type="default"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42C" w:rsidRDefault="0039042C">
      <w:pPr>
        <w:spacing w:after="0" w:line="240" w:lineRule="auto"/>
      </w:pPr>
      <w:r>
        <w:separator/>
      </w:r>
    </w:p>
  </w:endnote>
  <w:endnote w:type="continuationSeparator" w:id="0">
    <w:p w:rsidR="0039042C" w:rsidRDefault="00390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6" w:rsidRDefault="0039042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1469A6" w:rsidRDefault="0039042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A6186">
      <w:rPr>
        <w:rFonts w:ascii="Arial" w:eastAsia="Arial" w:hAnsi="Arial" w:cs="Arial"/>
        <w:color w:val="000000"/>
        <w:sz w:val="20"/>
        <w:szCs w:val="20"/>
      </w:rPr>
      <w:fldChar w:fldCharType="separate"/>
    </w:r>
    <w:r w:rsidR="002A6186">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1469A6" w:rsidRDefault="003904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6" w:rsidRDefault="0039042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1469A6" w:rsidRDefault="0039042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1469A6" w:rsidRDefault="003904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42C" w:rsidRDefault="0039042C">
      <w:pPr>
        <w:spacing w:after="0" w:line="240" w:lineRule="auto"/>
      </w:pPr>
      <w:r>
        <w:separator/>
      </w:r>
    </w:p>
  </w:footnote>
  <w:footnote w:type="continuationSeparator" w:id="0">
    <w:p w:rsidR="0039042C" w:rsidRDefault="003904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6" w:rsidRDefault="0039042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1469A6" w:rsidRDefault="0039042C">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9A6" w:rsidRDefault="0039042C">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1469A6" w:rsidRDefault="0039042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348F2"/>
    <w:multiLevelType w:val="multilevel"/>
    <w:tmpl w:val="7B4EF0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BC6283"/>
    <w:multiLevelType w:val="multilevel"/>
    <w:tmpl w:val="F022F68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4F3584"/>
    <w:multiLevelType w:val="multilevel"/>
    <w:tmpl w:val="A35C6D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F46518"/>
    <w:multiLevelType w:val="multilevel"/>
    <w:tmpl w:val="3F447DEC"/>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AE0383E"/>
    <w:multiLevelType w:val="multilevel"/>
    <w:tmpl w:val="A38A6FB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CCC715F"/>
    <w:multiLevelType w:val="multilevel"/>
    <w:tmpl w:val="4290E40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78207F"/>
    <w:multiLevelType w:val="multilevel"/>
    <w:tmpl w:val="A15A8B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92560E"/>
    <w:multiLevelType w:val="multilevel"/>
    <w:tmpl w:val="2F4CD636"/>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7AF248E"/>
    <w:multiLevelType w:val="multilevel"/>
    <w:tmpl w:val="1E4A82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5F5D26"/>
    <w:multiLevelType w:val="multilevel"/>
    <w:tmpl w:val="AB0A33B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2FB43C34"/>
    <w:multiLevelType w:val="multilevel"/>
    <w:tmpl w:val="CB202A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245318B"/>
    <w:multiLevelType w:val="multilevel"/>
    <w:tmpl w:val="CBA282A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41E64797"/>
    <w:multiLevelType w:val="multilevel"/>
    <w:tmpl w:val="4A18E256"/>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2200D56"/>
    <w:multiLevelType w:val="multilevel"/>
    <w:tmpl w:val="8758D1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A001808"/>
    <w:multiLevelType w:val="multilevel"/>
    <w:tmpl w:val="623C05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D3A5F65"/>
    <w:multiLevelType w:val="multilevel"/>
    <w:tmpl w:val="D75EBE6C"/>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4DB851E0"/>
    <w:multiLevelType w:val="multilevel"/>
    <w:tmpl w:val="6E7E48E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4FA535F2"/>
    <w:multiLevelType w:val="multilevel"/>
    <w:tmpl w:val="880844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9525F4"/>
    <w:multiLevelType w:val="multilevel"/>
    <w:tmpl w:val="66D466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272916"/>
    <w:multiLevelType w:val="multilevel"/>
    <w:tmpl w:val="C9B4A4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626B1"/>
    <w:multiLevelType w:val="multilevel"/>
    <w:tmpl w:val="FBB4DD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7C1369"/>
    <w:multiLevelType w:val="multilevel"/>
    <w:tmpl w:val="C1A8D77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6DD316D9"/>
    <w:multiLevelType w:val="multilevel"/>
    <w:tmpl w:val="88FA75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256E2A"/>
    <w:multiLevelType w:val="multilevel"/>
    <w:tmpl w:val="07C8FD7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3D75B20"/>
    <w:multiLevelType w:val="multilevel"/>
    <w:tmpl w:val="3A460F0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88C774D"/>
    <w:multiLevelType w:val="multilevel"/>
    <w:tmpl w:val="217E352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B123F05"/>
    <w:multiLevelType w:val="multilevel"/>
    <w:tmpl w:val="E0A008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B40117F"/>
    <w:multiLevelType w:val="multilevel"/>
    <w:tmpl w:val="DE4494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C133BBB"/>
    <w:multiLevelType w:val="multilevel"/>
    <w:tmpl w:val="58B452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2"/>
  </w:num>
  <w:num w:numId="2">
    <w:abstractNumId w:val="15"/>
  </w:num>
  <w:num w:numId="3">
    <w:abstractNumId w:val="18"/>
  </w:num>
  <w:num w:numId="4">
    <w:abstractNumId w:val="24"/>
  </w:num>
  <w:num w:numId="5">
    <w:abstractNumId w:val="20"/>
  </w:num>
  <w:num w:numId="6">
    <w:abstractNumId w:val="23"/>
  </w:num>
  <w:num w:numId="7">
    <w:abstractNumId w:val="7"/>
  </w:num>
  <w:num w:numId="8">
    <w:abstractNumId w:val="13"/>
  </w:num>
  <w:num w:numId="9">
    <w:abstractNumId w:val="2"/>
  </w:num>
  <w:num w:numId="10">
    <w:abstractNumId w:val="14"/>
  </w:num>
  <w:num w:numId="11">
    <w:abstractNumId w:val="8"/>
  </w:num>
  <w:num w:numId="12">
    <w:abstractNumId w:val="1"/>
  </w:num>
  <w:num w:numId="13">
    <w:abstractNumId w:val="9"/>
  </w:num>
  <w:num w:numId="14">
    <w:abstractNumId w:val="26"/>
  </w:num>
  <w:num w:numId="15">
    <w:abstractNumId w:val="17"/>
  </w:num>
  <w:num w:numId="16">
    <w:abstractNumId w:val="16"/>
  </w:num>
  <w:num w:numId="17">
    <w:abstractNumId w:val="28"/>
  </w:num>
  <w:num w:numId="18">
    <w:abstractNumId w:val="6"/>
  </w:num>
  <w:num w:numId="19">
    <w:abstractNumId w:val="19"/>
  </w:num>
  <w:num w:numId="20">
    <w:abstractNumId w:val="22"/>
  </w:num>
  <w:num w:numId="21">
    <w:abstractNumId w:val="27"/>
  </w:num>
  <w:num w:numId="22">
    <w:abstractNumId w:val="0"/>
  </w:num>
  <w:num w:numId="23">
    <w:abstractNumId w:val="21"/>
  </w:num>
  <w:num w:numId="24">
    <w:abstractNumId w:val="11"/>
  </w:num>
  <w:num w:numId="25">
    <w:abstractNumId w:val="3"/>
  </w:num>
  <w:num w:numId="26">
    <w:abstractNumId w:val="5"/>
  </w:num>
  <w:num w:numId="27">
    <w:abstractNumId w:val="4"/>
  </w:num>
  <w:num w:numId="28">
    <w:abstractNumId w:val="25"/>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9A6"/>
    <w:rsid w:val="001469A6"/>
    <w:rsid w:val="002A6186"/>
    <w:rsid w:val="003904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44C15-3AD8-48AD-A55F-824377D1A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yperlink" Target="https://www.gov.uk/government/publications/blowing-the-whistle-list-of-prescribed-people-and-bodies--2/whistleblowing-list-of-prescribed-people-and-bodies"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mod.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lice.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nhs.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LD6fxQhUM2WWA5yQFoVRky8X2w==">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3381653-0A72-4200-92DB-D910FB562771}"/>
</file>

<file path=customXml/itemProps3.xml><?xml version="1.0" encoding="utf-8"?>
<ds:datastoreItem xmlns:ds="http://schemas.openxmlformats.org/officeDocument/2006/customXml" ds:itemID="{CEA5F459-72C9-400E-8F95-CD873F84CDFE}"/>
</file>

<file path=docProps/app.xml><?xml version="1.0" encoding="utf-8"?>
<Properties xmlns="http://schemas.openxmlformats.org/officeDocument/2006/extended-properties" xmlns:vt="http://schemas.openxmlformats.org/officeDocument/2006/docPropsVTypes">
  <Template>Normal</Template>
  <TotalTime>0</TotalTime>
  <Pages>4</Pages>
  <Words>10180</Words>
  <Characters>58026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Laura Hayward</cp:lastModifiedBy>
  <cp:revision>2</cp:revision>
  <dcterms:created xsi:type="dcterms:W3CDTF">2022-10-25T15:58:00Z</dcterms:created>
  <dcterms:modified xsi:type="dcterms:W3CDTF">2022-10-25T15:58:00Z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